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2B5084" w:rsidRPr="002B5084" w:rsidTr="005F7F7E">
        <w:tc>
          <w:tcPr>
            <w:tcW w:w="2438" w:type="dxa"/>
            <w:shd w:val="clear" w:color="auto" w:fill="auto"/>
          </w:tcPr>
          <w:p w:rsidR="00F445B1" w:rsidRPr="002B5084" w:rsidRDefault="00F445B1" w:rsidP="004A6D2F">
            <w:pPr>
              <w:rPr>
                <w:rStyle w:val="Firstpagetablebold"/>
                <w:color w:val="auto"/>
              </w:rPr>
            </w:pPr>
            <w:r w:rsidRPr="002B5084">
              <w:rPr>
                <w:rStyle w:val="Firstpagetablebold"/>
                <w:color w:val="auto"/>
              </w:rPr>
              <w:t>To</w:t>
            </w:r>
            <w:r w:rsidR="005C35A5" w:rsidRPr="002B5084">
              <w:rPr>
                <w:rStyle w:val="Firstpagetablebold"/>
                <w:color w:val="auto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2B5084" w:rsidRDefault="002B5084" w:rsidP="00475860">
            <w:pPr>
              <w:rPr>
                <w:rStyle w:val="Firstpagetablebold"/>
                <w:color w:val="auto"/>
              </w:rPr>
            </w:pPr>
            <w:r w:rsidRPr="002B5084">
              <w:rPr>
                <w:rStyle w:val="Firstpagetablebold"/>
                <w:color w:val="auto"/>
              </w:rPr>
              <w:t>Housing Group</w:t>
            </w:r>
            <w:r w:rsidR="004711FC" w:rsidRPr="002B5084">
              <w:rPr>
                <w:rStyle w:val="Firstpagetablebold"/>
                <w:color w:val="auto"/>
              </w:rPr>
              <w:t xml:space="preserve"> Shareholder </w:t>
            </w:r>
            <w:r w:rsidR="00475860" w:rsidRPr="002B5084">
              <w:rPr>
                <w:rStyle w:val="Firstpagetablebold"/>
                <w:color w:val="auto"/>
              </w:rPr>
              <w:t>Meeting</w:t>
            </w:r>
          </w:p>
        </w:tc>
      </w:tr>
      <w:tr w:rsidR="002B5084" w:rsidRPr="002B5084" w:rsidTr="005F7F7E">
        <w:tc>
          <w:tcPr>
            <w:tcW w:w="2438" w:type="dxa"/>
            <w:shd w:val="clear" w:color="auto" w:fill="auto"/>
          </w:tcPr>
          <w:p w:rsidR="00F445B1" w:rsidRPr="002B5084" w:rsidRDefault="00F445B1" w:rsidP="004A6D2F">
            <w:pPr>
              <w:rPr>
                <w:rStyle w:val="Firstpagetablebold"/>
                <w:color w:val="auto"/>
              </w:rPr>
            </w:pPr>
            <w:r w:rsidRPr="002B5084">
              <w:rPr>
                <w:rStyle w:val="Firstpagetablebold"/>
                <w:color w:val="auto"/>
              </w:rPr>
              <w:t>Dat</w:t>
            </w:r>
            <w:r w:rsidR="005C35A5" w:rsidRPr="002B5084">
              <w:rPr>
                <w:rStyle w:val="Firstpagetablebold"/>
                <w:color w:val="auto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2B5084" w:rsidRDefault="002B5084" w:rsidP="002B5084">
            <w:pPr>
              <w:rPr>
                <w:b/>
                <w:color w:val="auto"/>
              </w:rPr>
            </w:pPr>
            <w:r w:rsidRPr="002B5084">
              <w:rPr>
                <w:rStyle w:val="Firstpagetablebold"/>
                <w:color w:val="auto"/>
              </w:rPr>
              <w:t>20 March 2018</w:t>
            </w:r>
          </w:p>
        </w:tc>
      </w:tr>
      <w:tr w:rsidR="002B5084" w:rsidRPr="002B5084" w:rsidTr="005F7F7E">
        <w:tc>
          <w:tcPr>
            <w:tcW w:w="2438" w:type="dxa"/>
            <w:shd w:val="clear" w:color="auto" w:fill="auto"/>
          </w:tcPr>
          <w:p w:rsidR="00F445B1" w:rsidRPr="002B5084" w:rsidRDefault="00F445B1" w:rsidP="004A6D2F">
            <w:pPr>
              <w:rPr>
                <w:rStyle w:val="Firstpagetablebold"/>
                <w:color w:val="auto"/>
              </w:rPr>
            </w:pPr>
            <w:r w:rsidRPr="002B5084">
              <w:rPr>
                <w:rStyle w:val="Firstpagetablebold"/>
                <w:color w:val="auto"/>
              </w:rPr>
              <w:t>Report of</w:t>
            </w:r>
            <w:r w:rsidR="005C35A5" w:rsidRPr="002B5084">
              <w:rPr>
                <w:rStyle w:val="Firstpagetablebold"/>
                <w:color w:val="auto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2B5084" w:rsidRDefault="002B5084" w:rsidP="004711FC">
            <w:pPr>
              <w:rPr>
                <w:rStyle w:val="Firstpagetablebold"/>
                <w:color w:val="auto"/>
              </w:rPr>
            </w:pPr>
            <w:r w:rsidRPr="002B5084">
              <w:rPr>
                <w:rStyle w:val="Firstpagetablebold"/>
                <w:color w:val="auto"/>
              </w:rPr>
              <w:t>Head of Financial Services</w:t>
            </w:r>
          </w:p>
        </w:tc>
      </w:tr>
      <w:tr w:rsidR="00CE544A" w:rsidRPr="002B5084" w:rsidTr="005F7F7E">
        <w:tc>
          <w:tcPr>
            <w:tcW w:w="2438" w:type="dxa"/>
            <w:shd w:val="clear" w:color="auto" w:fill="auto"/>
          </w:tcPr>
          <w:p w:rsidR="00F445B1" w:rsidRPr="002B5084" w:rsidRDefault="00F445B1" w:rsidP="004A6D2F">
            <w:pPr>
              <w:rPr>
                <w:rStyle w:val="Firstpagetablebold"/>
                <w:color w:val="auto"/>
              </w:rPr>
            </w:pPr>
            <w:r w:rsidRPr="002B5084">
              <w:rPr>
                <w:rStyle w:val="Firstpagetablebold"/>
                <w:color w:val="auto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2B5084" w:rsidRDefault="002B5084" w:rsidP="004A6D2F">
            <w:pPr>
              <w:rPr>
                <w:rStyle w:val="Firstpagetablebold"/>
                <w:color w:val="auto"/>
              </w:rPr>
            </w:pPr>
            <w:r w:rsidRPr="002B5084">
              <w:rPr>
                <w:rStyle w:val="Firstpagetablebold"/>
                <w:color w:val="auto"/>
              </w:rPr>
              <w:t>Procurement of External Auditor – Oxford City Council Housing Group</w:t>
            </w:r>
          </w:p>
        </w:tc>
      </w:tr>
    </w:tbl>
    <w:p w:rsidR="004F20EF" w:rsidRPr="002B5084" w:rsidRDefault="004F20EF" w:rsidP="004A6D2F">
      <w:pPr>
        <w:rPr>
          <w:color w:val="auto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2B5084" w:rsidRPr="002B5084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:rsidR="00D5547E" w:rsidRPr="002B5084" w:rsidRDefault="00745BF0" w:rsidP="00745BF0">
            <w:pPr>
              <w:jc w:val="center"/>
              <w:rPr>
                <w:rStyle w:val="Firstpagetablebold"/>
                <w:color w:val="auto"/>
              </w:rPr>
            </w:pPr>
            <w:r w:rsidRPr="002B5084">
              <w:rPr>
                <w:rStyle w:val="Firstpagetablebold"/>
                <w:color w:val="auto"/>
              </w:rPr>
              <w:t>Summary and r</w:t>
            </w:r>
            <w:r w:rsidR="00D5547E" w:rsidRPr="002B5084">
              <w:rPr>
                <w:rStyle w:val="Firstpagetablebold"/>
                <w:color w:val="auto"/>
              </w:rPr>
              <w:t>ecommendations</w:t>
            </w:r>
          </w:p>
        </w:tc>
      </w:tr>
      <w:tr w:rsidR="002B5084" w:rsidRPr="002B5084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Pr="002B5084" w:rsidRDefault="00D5547E">
            <w:pPr>
              <w:rPr>
                <w:rStyle w:val="Firstpagetablebold"/>
                <w:color w:val="auto"/>
              </w:rPr>
            </w:pPr>
            <w:r w:rsidRPr="002B5084">
              <w:rPr>
                <w:rStyle w:val="Firstpagetablebold"/>
                <w:color w:val="auto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5547E" w:rsidRPr="002B5084" w:rsidRDefault="002B5084" w:rsidP="004711FC">
            <w:pPr>
              <w:rPr>
                <w:color w:val="auto"/>
              </w:rPr>
            </w:pPr>
            <w:r w:rsidRPr="002B5084">
              <w:rPr>
                <w:color w:val="auto"/>
              </w:rPr>
              <w:t>To provide an update on the current position in respect of external auditor procurement.</w:t>
            </w:r>
          </w:p>
        </w:tc>
      </w:tr>
      <w:tr w:rsidR="002B5084" w:rsidRPr="002B5084" w:rsidTr="002B5084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:rsidR="005F7F7E" w:rsidRPr="002B5084" w:rsidRDefault="005F7F7E" w:rsidP="002B5084">
            <w:pPr>
              <w:rPr>
                <w:color w:val="auto"/>
              </w:rPr>
            </w:pPr>
            <w:r w:rsidRPr="002B5084">
              <w:rPr>
                <w:rStyle w:val="Firstpagetablebold"/>
                <w:color w:val="auto"/>
              </w:rPr>
              <w:t>Recommendation(s):</w:t>
            </w:r>
            <w:r w:rsidR="00C0158F">
              <w:rPr>
                <w:rStyle w:val="Firstpagetablebold"/>
                <w:color w:val="auto"/>
              </w:rPr>
              <w:t xml:space="preserve"> </w:t>
            </w:r>
            <w:r w:rsidRPr="002B5084">
              <w:rPr>
                <w:rStyle w:val="Firstpagetablebold"/>
                <w:color w:val="auto"/>
              </w:rPr>
              <w:t xml:space="preserve">That the </w:t>
            </w:r>
            <w:r w:rsidR="002B5084" w:rsidRPr="002B5084">
              <w:rPr>
                <w:rStyle w:val="Firstpagetablebold"/>
                <w:color w:val="auto"/>
              </w:rPr>
              <w:t>Housing Group</w:t>
            </w:r>
            <w:r w:rsidR="004711FC" w:rsidRPr="002B5084">
              <w:rPr>
                <w:rStyle w:val="Firstpagetablebold"/>
                <w:color w:val="auto"/>
              </w:rPr>
              <w:t xml:space="preserve"> Shareholder </w:t>
            </w:r>
            <w:r w:rsidRPr="002B5084">
              <w:rPr>
                <w:rStyle w:val="Firstpagetablebold"/>
                <w:color w:val="auto"/>
              </w:rPr>
              <w:t>resolves to:</w:t>
            </w:r>
          </w:p>
        </w:tc>
      </w:tr>
      <w:tr w:rsidR="0030208D" w:rsidRPr="00975B07" w:rsidTr="002B5084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30208D" w:rsidRPr="00975B07" w:rsidRDefault="00046D2B" w:rsidP="004A6D2F">
            <w:r w:rsidRPr="00975B07">
              <w:t>1.</w:t>
            </w:r>
          </w:p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0208D" w:rsidRPr="001356F1" w:rsidRDefault="002B5084" w:rsidP="002069B3">
            <w:proofErr w:type="gramStart"/>
            <w:r w:rsidRPr="002B5084">
              <w:rPr>
                <w:rStyle w:val="Firstpagetablebold"/>
                <w:color w:val="auto"/>
              </w:rPr>
              <w:t>note</w:t>
            </w:r>
            <w:proofErr w:type="gramEnd"/>
            <w:r>
              <w:rPr>
                <w:rStyle w:val="Firstpagetablebold"/>
                <w:b w:val="0"/>
                <w:color w:val="auto"/>
              </w:rPr>
              <w:t xml:space="preserve"> the appointment of </w:t>
            </w:r>
            <w:proofErr w:type="spellStart"/>
            <w:r>
              <w:rPr>
                <w:rStyle w:val="Firstpagetablebold"/>
                <w:b w:val="0"/>
                <w:color w:val="auto"/>
              </w:rPr>
              <w:t>Mazars</w:t>
            </w:r>
            <w:proofErr w:type="spellEnd"/>
            <w:r>
              <w:rPr>
                <w:rStyle w:val="Firstpagetablebold"/>
                <w:b w:val="0"/>
                <w:color w:val="auto"/>
              </w:rPr>
              <w:t xml:space="preserve"> LLP as external auditors for the Oxford City Housing Group.</w:t>
            </w:r>
          </w:p>
        </w:tc>
      </w:tr>
    </w:tbl>
    <w:p w:rsidR="00CE544A" w:rsidRPr="009E51FC" w:rsidRDefault="00CE544A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:rsidTr="002B5084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:rsidTr="002B5084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5860" w:rsidRPr="00975B07" w:rsidRDefault="002B5084" w:rsidP="004A6D2F">
            <w:r>
              <w:t>None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ED5860" w:rsidRPr="001356F1" w:rsidRDefault="00ED5860" w:rsidP="004A6D2F"/>
        </w:tc>
      </w:tr>
    </w:tbl>
    <w:p w:rsidR="0040736F" w:rsidRPr="001356F1" w:rsidRDefault="00F66DCA" w:rsidP="004A6D2F">
      <w:pPr>
        <w:pStyle w:val="Heading1"/>
      </w:pPr>
      <w:r w:rsidRPr="001356F1">
        <w:t>Introduction and b</w:t>
      </w:r>
      <w:r w:rsidR="00151888" w:rsidRPr="001356F1">
        <w:t>ackground</w:t>
      </w:r>
      <w:r w:rsidR="00404032" w:rsidRPr="001356F1">
        <w:t xml:space="preserve"> </w:t>
      </w:r>
    </w:p>
    <w:p w:rsidR="002B5084" w:rsidRDefault="002B5084" w:rsidP="002B5084">
      <w:pPr>
        <w:pStyle w:val="ListParagraph"/>
        <w:rPr>
          <w:color w:val="auto"/>
        </w:rPr>
      </w:pPr>
      <w:r>
        <w:rPr>
          <w:color w:val="auto"/>
        </w:rPr>
        <w:t>At the meeting on 20 December 2017 it was resolved to d</w:t>
      </w:r>
      <w:r w:rsidRPr="00E2714B">
        <w:rPr>
          <w:color w:val="auto"/>
        </w:rPr>
        <w:t>elegate the award of the contract for the provision of external audit services for the Housing Group to Oxford City Council’s Head of Financial Services (S151 Officer)</w:t>
      </w:r>
      <w:r>
        <w:rPr>
          <w:color w:val="auto"/>
        </w:rPr>
        <w:t>.</w:t>
      </w:r>
    </w:p>
    <w:p w:rsidR="002B5084" w:rsidRDefault="002B5084" w:rsidP="002B5084">
      <w:pPr>
        <w:pStyle w:val="bParagraphtext"/>
        <w:numPr>
          <w:ilvl w:val="0"/>
          <w:numId w:val="0"/>
        </w:numPr>
        <w:rPr>
          <w:b/>
        </w:rPr>
      </w:pPr>
      <w:r w:rsidRPr="002B5084">
        <w:rPr>
          <w:b/>
        </w:rPr>
        <w:t>Procurement Process</w:t>
      </w:r>
    </w:p>
    <w:p w:rsidR="002B5084" w:rsidRPr="0071070D" w:rsidRDefault="002B5084" w:rsidP="002B5084">
      <w:pPr>
        <w:pStyle w:val="bParagraphtext"/>
        <w:rPr>
          <w:color w:val="auto"/>
        </w:rPr>
      </w:pPr>
      <w:r w:rsidRPr="0071070D">
        <w:t>A Request for Quotation</w:t>
      </w:r>
      <w:r>
        <w:t xml:space="preserve"> was released and the tender was open to any audit firms to bid.  </w:t>
      </w:r>
      <w:r>
        <w:rPr>
          <w:color w:val="auto"/>
        </w:rPr>
        <w:t>Tenders were</w:t>
      </w:r>
      <w:r w:rsidRPr="0071070D">
        <w:rPr>
          <w:color w:val="auto"/>
        </w:rPr>
        <w:t xml:space="preserve"> received </w:t>
      </w:r>
      <w:r>
        <w:rPr>
          <w:color w:val="auto"/>
        </w:rPr>
        <w:t>f</w:t>
      </w:r>
      <w:r w:rsidRPr="0071070D">
        <w:rPr>
          <w:color w:val="auto"/>
        </w:rPr>
        <w:t>rom:</w:t>
      </w:r>
    </w:p>
    <w:p w:rsidR="002B5084" w:rsidRDefault="00F14A89" w:rsidP="002B5084">
      <w:pPr>
        <w:pStyle w:val="bParagraphtext"/>
        <w:numPr>
          <w:ilvl w:val="0"/>
          <w:numId w:val="34"/>
        </w:numPr>
      </w:pPr>
      <w:r>
        <w:t>Company A</w:t>
      </w:r>
      <w:r w:rsidR="002B5084">
        <w:t xml:space="preserve"> (2016/17 auditor for Oxford City Housing); </w:t>
      </w:r>
    </w:p>
    <w:p w:rsidR="002B5084" w:rsidRDefault="002B5084" w:rsidP="002B5084">
      <w:pPr>
        <w:pStyle w:val="bParagraphtext"/>
        <w:numPr>
          <w:ilvl w:val="0"/>
          <w:numId w:val="34"/>
        </w:numPr>
      </w:pPr>
      <w:proofErr w:type="spellStart"/>
      <w:r>
        <w:t>Mazars</w:t>
      </w:r>
      <w:proofErr w:type="spellEnd"/>
      <w:r>
        <w:t>; and</w:t>
      </w:r>
    </w:p>
    <w:p w:rsidR="002B5084" w:rsidRDefault="00F14A89" w:rsidP="002B5084">
      <w:pPr>
        <w:pStyle w:val="bParagraphtext"/>
        <w:numPr>
          <w:ilvl w:val="0"/>
          <w:numId w:val="34"/>
        </w:numPr>
        <w:spacing w:after="240"/>
        <w:ind w:left="714" w:hanging="357"/>
      </w:pPr>
      <w:r>
        <w:t>Company B</w:t>
      </w:r>
      <w:r w:rsidR="002B5084">
        <w:t xml:space="preserve"> (2016/17 auditor for </w:t>
      </w:r>
      <w:proofErr w:type="spellStart"/>
      <w:r w:rsidR="002B5084">
        <w:t>OxWED</w:t>
      </w:r>
      <w:proofErr w:type="spellEnd"/>
      <w:r w:rsidR="002B5084">
        <w:t>).</w:t>
      </w:r>
    </w:p>
    <w:p w:rsidR="00E87F7A" w:rsidRPr="001356F1" w:rsidRDefault="002B5084" w:rsidP="005570B5">
      <w:pPr>
        <w:pStyle w:val="bParagraphtext"/>
      </w:pPr>
      <w:r w:rsidRPr="0071070D">
        <w:rPr>
          <w:color w:val="auto"/>
        </w:rPr>
        <w:t xml:space="preserve">13 other entities expressed an interest but </w:t>
      </w:r>
      <w:r>
        <w:rPr>
          <w:color w:val="auto"/>
        </w:rPr>
        <w:t xml:space="preserve">these </w:t>
      </w:r>
      <w:r w:rsidRPr="0071070D">
        <w:rPr>
          <w:color w:val="auto"/>
        </w:rPr>
        <w:t>didn’t follow through</w:t>
      </w:r>
      <w:r>
        <w:rPr>
          <w:color w:val="auto"/>
        </w:rPr>
        <w:t xml:space="preserve"> to a tender</w:t>
      </w:r>
      <w:r w:rsidRPr="0071070D">
        <w:rPr>
          <w:color w:val="auto"/>
        </w:rPr>
        <w:t>.</w:t>
      </w:r>
    </w:p>
    <w:p w:rsidR="002B5084" w:rsidRDefault="002B5084" w:rsidP="002B5084">
      <w:pPr>
        <w:pStyle w:val="bParagraphtext"/>
      </w:pPr>
      <w:r w:rsidRPr="0071070D">
        <w:t>The contract period is intended to be for an initial period of three years with the option to extend for two further periods of 1 year up to a maximum contract period of 5 years.</w:t>
      </w:r>
    </w:p>
    <w:p w:rsidR="002B5084" w:rsidRDefault="002B5084" w:rsidP="002B5084">
      <w:pPr>
        <w:pStyle w:val="bParagraphtext"/>
        <w:rPr>
          <w:color w:val="auto"/>
        </w:rPr>
      </w:pPr>
      <w:r>
        <w:rPr>
          <w:color w:val="auto"/>
        </w:rPr>
        <w:t xml:space="preserve">The tendered prices for Oxford City Housing Group were as follows: </w:t>
      </w:r>
    </w:p>
    <w:p w:rsidR="002B5084" w:rsidRDefault="00F14A89" w:rsidP="002B5084">
      <w:pPr>
        <w:pStyle w:val="bParagraphtext"/>
        <w:numPr>
          <w:ilvl w:val="0"/>
          <w:numId w:val="0"/>
        </w:numPr>
        <w:rPr>
          <w:color w:val="auto"/>
        </w:rPr>
      </w:pPr>
      <w:r w:rsidRPr="00F14A89">
        <w:lastRenderedPageBreak/>
        <w:drawing>
          <wp:inline distT="0" distB="0" distL="0" distR="0" wp14:anchorId="17CE8BAF" wp14:editId="69D18380">
            <wp:extent cx="5904230" cy="2663367"/>
            <wp:effectExtent l="0" t="0" r="127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266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084" w:rsidRDefault="002B5084" w:rsidP="002B5084">
      <w:pPr>
        <w:pStyle w:val="bParagraphtext"/>
        <w:numPr>
          <w:ilvl w:val="0"/>
          <w:numId w:val="0"/>
        </w:numPr>
        <w:spacing w:before="120"/>
        <w:ind w:left="425"/>
        <w:rPr>
          <w:color w:val="auto"/>
        </w:rPr>
      </w:pPr>
      <w:r w:rsidRPr="0018194E">
        <w:rPr>
          <w:color w:val="auto"/>
        </w:rPr>
        <w:t xml:space="preserve">An adjustment had to be made to the figures from </w:t>
      </w:r>
      <w:r w:rsidR="00F14A89">
        <w:rPr>
          <w:color w:val="auto"/>
        </w:rPr>
        <w:t>Company B</w:t>
      </w:r>
      <w:r w:rsidRPr="0018194E">
        <w:rPr>
          <w:color w:val="auto"/>
        </w:rPr>
        <w:t xml:space="preserve"> to allow for inflation, however this did not impact on the overall result.</w:t>
      </w:r>
      <w:bookmarkStart w:id="0" w:name="_GoBack"/>
      <w:bookmarkEnd w:id="0"/>
    </w:p>
    <w:p w:rsidR="002B5084" w:rsidRPr="009C433A" w:rsidRDefault="002B5084" w:rsidP="002B5084">
      <w:pPr>
        <w:pStyle w:val="bParagraphtext"/>
      </w:pPr>
      <w:proofErr w:type="spellStart"/>
      <w:r w:rsidRPr="00644C33">
        <w:rPr>
          <w:color w:val="auto"/>
        </w:rPr>
        <w:t>Mazars</w:t>
      </w:r>
      <w:proofErr w:type="spellEnd"/>
      <w:r w:rsidRPr="00644C33">
        <w:rPr>
          <w:color w:val="auto"/>
        </w:rPr>
        <w:t xml:space="preserve"> are the most competitively priced for the </w:t>
      </w:r>
      <w:r>
        <w:rPr>
          <w:color w:val="auto"/>
        </w:rPr>
        <w:t>Housing Group</w:t>
      </w:r>
      <w:r w:rsidRPr="00644C33">
        <w:rPr>
          <w:color w:val="auto"/>
        </w:rPr>
        <w:t xml:space="preserve">. Both </w:t>
      </w:r>
      <w:proofErr w:type="spellStart"/>
      <w:r w:rsidRPr="00644C33">
        <w:rPr>
          <w:color w:val="auto"/>
        </w:rPr>
        <w:t>Mazars</w:t>
      </w:r>
      <w:proofErr w:type="spellEnd"/>
      <w:r w:rsidRPr="00644C33">
        <w:rPr>
          <w:color w:val="auto"/>
        </w:rPr>
        <w:t xml:space="preserve"> &amp; </w:t>
      </w:r>
      <w:r w:rsidR="00F14A89">
        <w:rPr>
          <w:color w:val="auto"/>
        </w:rPr>
        <w:t>Company B</w:t>
      </w:r>
      <w:r w:rsidRPr="00644C33">
        <w:rPr>
          <w:color w:val="auto"/>
        </w:rPr>
        <w:t xml:space="preserve"> scored comparably well in the qualitative review. </w:t>
      </w:r>
      <w:proofErr w:type="spellStart"/>
      <w:r w:rsidRPr="00644C33">
        <w:rPr>
          <w:color w:val="auto"/>
        </w:rPr>
        <w:t>Mazars</w:t>
      </w:r>
      <w:proofErr w:type="spellEnd"/>
      <w:r w:rsidRPr="00644C33">
        <w:rPr>
          <w:color w:val="auto"/>
        </w:rPr>
        <w:t xml:space="preserve"> appeared to present a generic, well drafted, </w:t>
      </w:r>
      <w:r>
        <w:rPr>
          <w:color w:val="auto"/>
        </w:rPr>
        <w:t xml:space="preserve">but </w:t>
      </w:r>
      <w:r w:rsidRPr="00644C33">
        <w:rPr>
          <w:color w:val="auto"/>
        </w:rPr>
        <w:t xml:space="preserve">cut &amp; paste response (at one point they refer to ‘Red Lion’ as the prospective audit client &amp; in several places include details not required by the specific </w:t>
      </w:r>
      <w:r>
        <w:rPr>
          <w:color w:val="auto"/>
        </w:rPr>
        <w:t>question in the document</w:t>
      </w:r>
      <w:r w:rsidRPr="00644C33">
        <w:rPr>
          <w:color w:val="auto"/>
        </w:rPr>
        <w:t xml:space="preserve">). </w:t>
      </w:r>
      <w:r w:rsidR="00F14A89">
        <w:rPr>
          <w:color w:val="auto"/>
        </w:rPr>
        <w:t>Company B’s</w:t>
      </w:r>
      <w:r w:rsidRPr="00644C33">
        <w:rPr>
          <w:color w:val="auto"/>
        </w:rPr>
        <w:t xml:space="preserve"> narrative response appears more specifically focused &amp; individually tailored, hence slightly outscoring </w:t>
      </w:r>
      <w:proofErr w:type="spellStart"/>
      <w:r w:rsidRPr="00644C33">
        <w:rPr>
          <w:color w:val="auto"/>
        </w:rPr>
        <w:t>Mazars</w:t>
      </w:r>
      <w:proofErr w:type="spellEnd"/>
      <w:r w:rsidRPr="00644C33">
        <w:rPr>
          <w:color w:val="auto"/>
        </w:rPr>
        <w:t xml:space="preserve"> in the qualitative total.</w:t>
      </w:r>
    </w:p>
    <w:p w:rsidR="009C433A" w:rsidRDefault="009C433A" w:rsidP="009C433A">
      <w:pPr>
        <w:pStyle w:val="bParagraphtext"/>
        <w:rPr>
          <w:color w:val="auto"/>
        </w:rPr>
      </w:pPr>
      <w:r>
        <w:rPr>
          <w:color w:val="auto"/>
        </w:rPr>
        <w:t xml:space="preserve">The results of the combined Quality and Price scores still show </w:t>
      </w:r>
      <w:proofErr w:type="spellStart"/>
      <w:r>
        <w:rPr>
          <w:color w:val="auto"/>
        </w:rPr>
        <w:t>Mazars</w:t>
      </w:r>
      <w:proofErr w:type="spellEnd"/>
      <w:r>
        <w:rPr>
          <w:color w:val="auto"/>
        </w:rPr>
        <w:t xml:space="preserve"> as being the successful bidder as shown in the table below:</w:t>
      </w:r>
    </w:p>
    <w:p w:rsidR="00031AB9" w:rsidRDefault="00031AB9" w:rsidP="00031AB9">
      <w:pPr>
        <w:pStyle w:val="bParagraphtext"/>
        <w:numPr>
          <w:ilvl w:val="0"/>
          <w:numId w:val="0"/>
        </w:numPr>
        <w:rPr>
          <w:color w:val="auto"/>
        </w:rPr>
      </w:pPr>
    </w:p>
    <w:tbl>
      <w:tblPr>
        <w:tblW w:w="8580" w:type="dxa"/>
        <w:jc w:val="center"/>
        <w:tblInd w:w="93" w:type="dxa"/>
        <w:tblLook w:val="04A0" w:firstRow="1" w:lastRow="0" w:firstColumn="1" w:lastColumn="0" w:noHBand="0" w:noVBand="1"/>
      </w:tblPr>
      <w:tblGrid>
        <w:gridCol w:w="2480"/>
        <w:gridCol w:w="2460"/>
        <w:gridCol w:w="1160"/>
        <w:gridCol w:w="1240"/>
        <w:gridCol w:w="1240"/>
      </w:tblGrid>
      <w:tr w:rsidR="00031AB9" w:rsidRPr="0058234C" w:rsidTr="00031AB9">
        <w:trPr>
          <w:trHeight w:val="57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1AB9" w:rsidRPr="0058234C" w:rsidRDefault="00031AB9" w:rsidP="00031AB9">
            <w:r w:rsidRPr="0058234C"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1AB9" w:rsidRPr="0058234C" w:rsidRDefault="00031AB9" w:rsidP="0053235A">
            <w:pPr>
              <w:spacing w:after="0"/>
              <w:rPr>
                <w:rFonts w:cs="Arial"/>
                <w:sz w:val="22"/>
                <w:szCs w:val="22"/>
              </w:rPr>
            </w:pPr>
            <w:r w:rsidRPr="005823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1AB9" w:rsidRPr="0058234C" w:rsidRDefault="00031AB9" w:rsidP="0053235A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Company 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1AB9" w:rsidRPr="0058234C" w:rsidRDefault="00031AB9" w:rsidP="0053235A">
            <w:pPr>
              <w:spacing w:after="0"/>
              <w:rPr>
                <w:rFonts w:cs="Arial"/>
                <w:sz w:val="22"/>
                <w:szCs w:val="22"/>
              </w:rPr>
            </w:pPr>
            <w:proofErr w:type="spellStart"/>
            <w:r w:rsidRPr="0058234C">
              <w:rPr>
                <w:rFonts w:cs="Arial"/>
                <w:sz w:val="22"/>
                <w:szCs w:val="22"/>
              </w:rPr>
              <w:t>Mazars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1AB9" w:rsidRPr="0058234C" w:rsidRDefault="00031AB9" w:rsidP="0053235A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Company B </w:t>
            </w:r>
          </w:p>
        </w:tc>
      </w:tr>
      <w:tr w:rsidR="00031AB9" w:rsidRPr="0058234C" w:rsidTr="00031AB9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1AB9" w:rsidRPr="0058234C" w:rsidRDefault="00031AB9" w:rsidP="0053235A">
            <w:pPr>
              <w:spacing w:after="0"/>
              <w:rPr>
                <w:rFonts w:cs="Arial"/>
                <w:sz w:val="22"/>
                <w:szCs w:val="22"/>
              </w:rPr>
            </w:pPr>
            <w:r w:rsidRPr="005823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1AB9" w:rsidRPr="0058234C" w:rsidRDefault="00031AB9" w:rsidP="0053235A">
            <w:pPr>
              <w:spacing w:after="0"/>
              <w:rPr>
                <w:rFonts w:cs="Arial"/>
                <w:sz w:val="22"/>
                <w:szCs w:val="22"/>
              </w:rPr>
            </w:pPr>
            <w:r w:rsidRPr="005823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1AB9" w:rsidRPr="0058234C" w:rsidRDefault="00031AB9" w:rsidP="0053235A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58234C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1AB9" w:rsidRPr="0058234C" w:rsidRDefault="00031AB9" w:rsidP="0053235A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58234C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1AB9" w:rsidRPr="0058234C" w:rsidRDefault="00031AB9" w:rsidP="0053235A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58234C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  <w:tr w:rsidR="00031AB9" w:rsidRPr="0058234C" w:rsidTr="00031AB9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1AB9" w:rsidRPr="0058234C" w:rsidRDefault="00031AB9" w:rsidP="0053235A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58234C">
              <w:rPr>
                <w:rFonts w:cs="Arial"/>
                <w:b/>
                <w:bCs/>
                <w:sz w:val="22"/>
                <w:szCs w:val="22"/>
              </w:rPr>
              <w:t>Oxford City Housing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1AB9" w:rsidRPr="0058234C" w:rsidRDefault="00031AB9" w:rsidP="0053235A">
            <w:pPr>
              <w:spacing w:after="0"/>
              <w:rPr>
                <w:rFonts w:cs="Arial"/>
                <w:sz w:val="20"/>
                <w:szCs w:val="20"/>
              </w:rPr>
            </w:pPr>
            <w:r w:rsidRPr="0058234C">
              <w:rPr>
                <w:rFonts w:cs="Arial"/>
                <w:sz w:val="20"/>
                <w:szCs w:val="20"/>
              </w:rPr>
              <w:t>Qualitative Total (%)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1AB9" w:rsidRPr="0058234C" w:rsidRDefault="00031AB9" w:rsidP="0053235A">
            <w:pPr>
              <w:spacing w:after="0"/>
              <w:jc w:val="right"/>
              <w:rPr>
                <w:rFonts w:cs="Arial"/>
                <w:sz w:val="22"/>
                <w:szCs w:val="22"/>
              </w:rPr>
            </w:pPr>
            <w:r w:rsidRPr="0058234C">
              <w:rPr>
                <w:rFonts w:cs="Arial"/>
                <w:sz w:val="22"/>
                <w:szCs w:val="22"/>
              </w:rPr>
              <w:t>43%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1AB9" w:rsidRPr="0058234C" w:rsidRDefault="00031AB9" w:rsidP="0053235A">
            <w:pPr>
              <w:spacing w:after="0"/>
              <w:jc w:val="right"/>
              <w:rPr>
                <w:rFonts w:cs="Arial"/>
                <w:sz w:val="22"/>
                <w:szCs w:val="22"/>
              </w:rPr>
            </w:pPr>
            <w:r w:rsidRPr="0058234C">
              <w:rPr>
                <w:rFonts w:cs="Arial"/>
                <w:sz w:val="22"/>
                <w:szCs w:val="22"/>
              </w:rPr>
              <w:t>50%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1AB9" w:rsidRPr="0058234C" w:rsidRDefault="00031AB9" w:rsidP="0053235A">
            <w:pPr>
              <w:spacing w:after="0"/>
              <w:jc w:val="right"/>
              <w:rPr>
                <w:rFonts w:cs="Arial"/>
                <w:sz w:val="22"/>
                <w:szCs w:val="22"/>
              </w:rPr>
            </w:pPr>
            <w:r w:rsidRPr="0058234C">
              <w:rPr>
                <w:rFonts w:cs="Arial"/>
                <w:sz w:val="22"/>
                <w:szCs w:val="22"/>
              </w:rPr>
              <w:t>53%</w:t>
            </w:r>
          </w:p>
        </w:tc>
      </w:tr>
      <w:tr w:rsidR="00031AB9" w:rsidRPr="0058234C" w:rsidTr="00031AB9">
        <w:trPr>
          <w:trHeight w:val="285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B9" w:rsidRPr="0058234C" w:rsidRDefault="00031AB9" w:rsidP="0053235A">
            <w:pPr>
              <w:spacing w:after="0"/>
              <w:rPr>
                <w:rFonts w:cs="Arial"/>
                <w:sz w:val="22"/>
                <w:szCs w:val="22"/>
              </w:rPr>
            </w:pPr>
            <w:r w:rsidRPr="005823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1AB9" w:rsidRPr="0058234C" w:rsidRDefault="00031AB9" w:rsidP="0053235A">
            <w:pPr>
              <w:spacing w:after="0"/>
              <w:rPr>
                <w:rFonts w:cs="Arial"/>
                <w:sz w:val="20"/>
                <w:szCs w:val="20"/>
              </w:rPr>
            </w:pPr>
            <w:r w:rsidRPr="0058234C">
              <w:rPr>
                <w:rFonts w:cs="Arial"/>
                <w:sz w:val="20"/>
                <w:szCs w:val="20"/>
              </w:rPr>
              <w:t xml:space="preserve">Price - lump sum total (%)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1AB9" w:rsidRPr="0058234C" w:rsidRDefault="00031AB9" w:rsidP="0053235A">
            <w:pPr>
              <w:spacing w:after="0"/>
              <w:jc w:val="right"/>
              <w:rPr>
                <w:rFonts w:cs="Arial"/>
                <w:sz w:val="22"/>
                <w:szCs w:val="22"/>
              </w:rPr>
            </w:pPr>
            <w:r w:rsidRPr="0058234C">
              <w:rPr>
                <w:rFonts w:cs="Arial"/>
                <w:sz w:val="22"/>
                <w:szCs w:val="22"/>
              </w:rPr>
              <w:t>32%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1AB9" w:rsidRPr="0058234C" w:rsidRDefault="00031AB9" w:rsidP="0053235A">
            <w:pPr>
              <w:spacing w:after="0"/>
              <w:jc w:val="right"/>
              <w:rPr>
                <w:rFonts w:cs="Arial"/>
                <w:sz w:val="22"/>
                <w:szCs w:val="22"/>
              </w:rPr>
            </w:pPr>
            <w:r w:rsidRPr="0058234C">
              <w:rPr>
                <w:rFonts w:cs="Arial"/>
                <w:sz w:val="22"/>
                <w:szCs w:val="22"/>
              </w:rPr>
              <w:t>40%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1AB9" w:rsidRPr="0058234C" w:rsidRDefault="00031AB9" w:rsidP="0053235A">
            <w:pPr>
              <w:spacing w:after="0"/>
              <w:jc w:val="right"/>
              <w:rPr>
                <w:rFonts w:cs="Arial"/>
                <w:sz w:val="22"/>
                <w:szCs w:val="22"/>
              </w:rPr>
            </w:pPr>
            <w:r w:rsidRPr="0058234C">
              <w:rPr>
                <w:rFonts w:cs="Arial"/>
                <w:sz w:val="22"/>
                <w:szCs w:val="22"/>
              </w:rPr>
              <w:t>36%</w:t>
            </w:r>
          </w:p>
        </w:tc>
      </w:tr>
      <w:tr w:rsidR="00031AB9" w:rsidRPr="0058234C" w:rsidTr="00031AB9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AB9" w:rsidRPr="0058234C" w:rsidRDefault="00031AB9" w:rsidP="0053235A">
            <w:pPr>
              <w:spacing w:after="0"/>
              <w:rPr>
                <w:rFonts w:cs="Arial"/>
                <w:sz w:val="22"/>
                <w:szCs w:val="22"/>
              </w:rPr>
            </w:pPr>
            <w:r w:rsidRPr="0058234C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1AB9" w:rsidRPr="0058234C" w:rsidRDefault="00031AB9" w:rsidP="0053235A">
            <w:pPr>
              <w:spacing w:after="0"/>
              <w:rPr>
                <w:rFonts w:cs="Arial"/>
                <w:sz w:val="22"/>
                <w:szCs w:val="22"/>
              </w:rPr>
            </w:pPr>
            <w:r w:rsidRPr="0058234C">
              <w:rPr>
                <w:rFonts w:cs="Arial"/>
                <w:sz w:val="22"/>
                <w:szCs w:val="22"/>
              </w:rPr>
              <w:t>Total (%)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1AB9" w:rsidRPr="0058234C" w:rsidRDefault="00031AB9" w:rsidP="0053235A">
            <w:pPr>
              <w:spacing w:after="0"/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58234C">
              <w:rPr>
                <w:rFonts w:cs="Arial"/>
                <w:b/>
                <w:bCs/>
                <w:sz w:val="22"/>
                <w:szCs w:val="22"/>
              </w:rPr>
              <w:t>75%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1AB9" w:rsidRPr="0058234C" w:rsidRDefault="00031AB9" w:rsidP="0053235A">
            <w:pPr>
              <w:spacing w:after="0"/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58234C">
              <w:rPr>
                <w:rFonts w:cs="Arial"/>
                <w:b/>
                <w:bCs/>
                <w:sz w:val="22"/>
                <w:szCs w:val="22"/>
              </w:rPr>
              <w:t>90%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31AB9" w:rsidRPr="0058234C" w:rsidRDefault="00031AB9" w:rsidP="0053235A">
            <w:pPr>
              <w:spacing w:after="0"/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58234C">
              <w:rPr>
                <w:rFonts w:cs="Arial"/>
                <w:b/>
                <w:bCs/>
                <w:sz w:val="22"/>
                <w:szCs w:val="22"/>
              </w:rPr>
              <w:t>89%</w:t>
            </w:r>
          </w:p>
        </w:tc>
      </w:tr>
    </w:tbl>
    <w:p w:rsidR="009C433A" w:rsidRDefault="009C433A" w:rsidP="009C433A">
      <w:pPr>
        <w:pStyle w:val="bParagraphtext"/>
        <w:numPr>
          <w:ilvl w:val="0"/>
          <w:numId w:val="0"/>
        </w:numPr>
        <w:ind w:left="426"/>
        <w:rPr>
          <w:color w:val="auto"/>
        </w:rPr>
      </w:pPr>
    </w:p>
    <w:p w:rsidR="009C433A" w:rsidRDefault="009C433A" w:rsidP="009C433A">
      <w:pPr>
        <w:pStyle w:val="bParagraphtext"/>
      </w:pPr>
      <w:r w:rsidRPr="00330721">
        <w:rPr>
          <w:color w:val="auto"/>
        </w:rPr>
        <w:t>Oxford City Council’s Head of Financial Services (S151 Officer)</w:t>
      </w:r>
      <w:r>
        <w:rPr>
          <w:color w:val="auto"/>
        </w:rPr>
        <w:t xml:space="preserve"> therefore </w:t>
      </w:r>
      <w:r w:rsidRPr="00330721">
        <w:t>award</w:t>
      </w:r>
      <w:r>
        <w:t>ed</w:t>
      </w:r>
      <w:r w:rsidRPr="00330721">
        <w:t xml:space="preserve"> the contract for the provision of external audit services for the Housing Group to</w:t>
      </w:r>
      <w:r>
        <w:t xml:space="preserve"> </w:t>
      </w:r>
      <w:proofErr w:type="spellStart"/>
      <w:r>
        <w:t>Mazars</w:t>
      </w:r>
      <w:proofErr w:type="spellEnd"/>
      <w:r w:rsidRPr="00330721">
        <w:t>.</w:t>
      </w:r>
    </w:p>
    <w:p w:rsidR="0040736F" w:rsidRPr="001356F1" w:rsidRDefault="002329CF" w:rsidP="004A6D2F">
      <w:pPr>
        <w:pStyle w:val="Heading1"/>
      </w:pPr>
      <w:r w:rsidRPr="001356F1">
        <w:t>Financial implications</w:t>
      </w:r>
    </w:p>
    <w:p w:rsidR="002B5084" w:rsidRPr="0039744B" w:rsidRDefault="002B5084" w:rsidP="002B5084">
      <w:pPr>
        <w:pStyle w:val="ListParagraph"/>
        <w:rPr>
          <w:color w:val="auto"/>
        </w:rPr>
      </w:pPr>
      <w:r>
        <w:rPr>
          <w:color w:val="auto"/>
        </w:rPr>
        <w:t>Financial implications are contained in the report</w:t>
      </w:r>
      <w:r w:rsidRPr="0039744B">
        <w:rPr>
          <w:color w:val="auto"/>
        </w:rPr>
        <w:t>.</w:t>
      </w:r>
    </w:p>
    <w:p w:rsidR="0040736F" w:rsidRPr="001356F1" w:rsidRDefault="00DA614B" w:rsidP="004A6D2F">
      <w:pPr>
        <w:pStyle w:val="Heading1"/>
      </w:pPr>
      <w:r w:rsidRPr="001356F1">
        <w:t>Legal issues</w:t>
      </w:r>
    </w:p>
    <w:p w:rsidR="002B5084" w:rsidRPr="0039744B" w:rsidRDefault="002B5084" w:rsidP="002B5084">
      <w:pPr>
        <w:pStyle w:val="ListParagraph"/>
        <w:rPr>
          <w:color w:val="auto"/>
        </w:rPr>
      </w:pPr>
      <w:r w:rsidRPr="0039744B">
        <w:rPr>
          <w:color w:val="auto"/>
        </w:rPr>
        <w:t xml:space="preserve">There are no implications arising from of contracting an auditor.  There </w:t>
      </w:r>
      <w:proofErr w:type="gramStart"/>
      <w:r w:rsidRPr="0039744B">
        <w:rPr>
          <w:color w:val="auto"/>
        </w:rPr>
        <w:t>are</w:t>
      </w:r>
      <w:proofErr w:type="gramEnd"/>
      <w:r w:rsidRPr="0039744B">
        <w:rPr>
          <w:color w:val="auto"/>
        </w:rPr>
        <w:t xml:space="preserve"> however compliance issues if an auditor is not in place.</w:t>
      </w:r>
    </w:p>
    <w:p w:rsidR="002329CF" w:rsidRPr="001356F1" w:rsidRDefault="002329CF" w:rsidP="004A6D2F">
      <w:pPr>
        <w:pStyle w:val="Heading1"/>
      </w:pPr>
      <w:r w:rsidRPr="001356F1">
        <w:t>Level of risk</w:t>
      </w:r>
    </w:p>
    <w:p w:rsidR="00BC69A4" w:rsidRPr="001356F1" w:rsidRDefault="002B5084" w:rsidP="005570B5">
      <w:pPr>
        <w:pStyle w:val="ListParagraph"/>
      </w:pPr>
      <w:r>
        <w:lastRenderedPageBreak/>
        <w:t>Low</w:t>
      </w:r>
      <w:r w:rsidR="0093067A" w:rsidRPr="001356F1">
        <w:t>.</w:t>
      </w:r>
    </w:p>
    <w:p w:rsidR="002329CF" w:rsidRDefault="002329CF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2B5084" w:rsidRPr="0039744B" w:rsidTr="002B2F8C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B5084" w:rsidRPr="0039744B" w:rsidRDefault="002B5084" w:rsidP="002B2F8C">
            <w:pPr>
              <w:rPr>
                <w:b/>
                <w:color w:val="auto"/>
              </w:rPr>
            </w:pPr>
            <w:r w:rsidRPr="0039744B">
              <w:rPr>
                <w:b/>
                <w:color w:val="auto"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084" w:rsidRPr="0039744B" w:rsidRDefault="002B5084" w:rsidP="002B2F8C">
            <w:pPr>
              <w:rPr>
                <w:color w:val="auto"/>
              </w:rPr>
            </w:pPr>
            <w:r w:rsidRPr="0039744B">
              <w:rPr>
                <w:color w:val="auto"/>
              </w:rPr>
              <w:t>Bill Lewis</w:t>
            </w:r>
          </w:p>
        </w:tc>
      </w:tr>
      <w:tr w:rsidR="002B5084" w:rsidRPr="0039744B" w:rsidTr="002B2F8C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2B5084" w:rsidRPr="0039744B" w:rsidRDefault="002B5084" w:rsidP="002B2F8C">
            <w:pPr>
              <w:rPr>
                <w:color w:val="auto"/>
              </w:rPr>
            </w:pPr>
            <w:r w:rsidRPr="0039744B">
              <w:rPr>
                <w:color w:val="auto"/>
              </w:rPr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B5084" w:rsidRPr="0039744B" w:rsidRDefault="002B5084" w:rsidP="002B2F8C">
            <w:pPr>
              <w:rPr>
                <w:color w:val="auto"/>
              </w:rPr>
            </w:pPr>
            <w:r w:rsidRPr="0039744B">
              <w:rPr>
                <w:color w:val="auto"/>
              </w:rPr>
              <w:t>Financial Accounting Manager</w:t>
            </w:r>
          </w:p>
        </w:tc>
      </w:tr>
      <w:tr w:rsidR="002B5084" w:rsidRPr="0039744B" w:rsidTr="002B2F8C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2B5084" w:rsidRPr="0039744B" w:rsidRDefault="002B5084" w:rsidP="002B2F8C">
            <w:pPr>
              <w:rPr>
                <w:color w:val="auto"/>
              </w:rPr>
            </w:pPr>
            <w:r w:rsidRPr="0039744B">
              <w:rPr>
                <w:color w:val="auto"/>
              </w:rPr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B5084" w:rsidRPr="0039744B" w:rsidRDefault="002B5084" w:rsidP="002B2F8C">
            <w:pPr>
              <w:rPr>
                <w:color w:val="auto"/>
              </w:rPr>
            </w:pPr>
            <w:r w:rsidRPr="0039744B">
              <w:rPr>
                <w:color w:val="auto"/>
              </w:rPr>
              <w:t>Financial Services</w:t>
            </w:r>
          </w:p>
        </w:tc>
      </w:tr>
      <w:tr w:rsidR="002B5084" w:rsidRPr="0039744B" w:rsidTr="002B2F8C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2B5084" w:rsidRPr="0039744B" w:rsidRDefault="002B5084" w:rsidP="002B2F8C">
            <w:pPr>
              <w:rPr>
                <w:color w:val="auto"/>
              </w:rPr>
            </w:pPr>
            <w:r w:rsidRPr="0039744B">
              <w:rPr>
                <w:color w:val="auto"/>
              </w:rPr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B5084" w:rsidRPr="0039744B" w:rsidRDefault="002B5084" w:rsidP="002B2F8C">
            <w:pPr>
              <w:rPr>
                <w:color w:val="auto"/>
              </w:rPr>
            </w:pPr>
            <w:r w:rsidRPr="0039744B">
              <w:rPr>
                <w:color w:val="auto"/>
              </w:rPr>
              <w:t xml:space="preserve">01865 252607 </w:t>
            </w:r>
          </w:p>
        </w:tc>
      </w:tr>
      <w:tr w:rsidR="002B5084" w:rsidRPr="0039744B" w:rsidTr="002B2F8C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2B5084" w:rsidRPr="0039744B" w:rsidRDefault="002B5084" w:rsidP="002B2F8C">
            <w:pPr>
              <w:rPr>
                <w:color w:val="auto"/>
              </w:rPr>
            </w:pPr>
            <w:r w:rsidRPr="0039744B">
              <w:rPr>
                <w:color w:val="auto"/>
              </w:rPr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084" w:rsidRPr="0039744B" w:rsidRDefault="002B5084" w:rsidP="002B2F8C">
            <w:pPr>
              <w:rPr>
                <w:rStyle w:val="Hyperlink"/>
                <w:color w:val="auto"/>
              </w:rPr>
            </w:pPr>
            <w:r w:rsidRPr="0039744B">
              <w:rPr>
                <w:rStyle w:val="Hyperlink"/>
                <w:color w:val="auto"/>
              </w:rPr>
              <w:t>blewis@oxford.gov.uk</w:t>
            </w:r>
          </w:p>
        </w:tc>
      </w:tr>
    </w:tbl>
    <w:p w:rsidR="002B5084" w:rsidRPr="001356F1" w:rsidRDefault="002B5084" w:rsidP="004A6D2F"/>
    <w:p w:rsidR="004456DD" w:rsidRPr="009E51FC" w:rsidRDefault="004456DD" w:rsidP="0093067A"/>
    <w:sectPr w:rsidR="004456DD" w:rsidRPr="009E51FC" w:rsidSect="00BC200B">
      <w:footerReference w:type="even" r:id="rId10"/>
      <w:headerReference w:type="first" r:id="rId11"/>
      <w:footerReference w:type="first" r:id="rId12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329" w:rsidRDefault="00484329" w:rsidP="004A6D2F">
      <w:r>
        <w:separator/>
      </w:r>
    </w:p>
  </w:endnote>
  <w:endnote w:type="continuationSeparator" w:id="0">
    <w:p w:rsidR="00484329" w:rsidRDefault="00484329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AD" w:rsidRDefault="00364FAD" w:rsidP="004A6D2F">
    <w:pPr>
      <w:pStyle w:val="Footer"/>
    </w:pPr>
    <w:r>
      <w:t>Do not use a footer or page numbers.</w:t>
    </w:r>
  </w:p>
  <w:p w:rsidR="00364FAD" w:rsidRDefault="00364FAD" w:rsidP="004A6D2F">
    <w:pPr>
      <w:pStyle w:val="Footer"/>
    </w:pPr>
  </w:p>
  <w:p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329" w:rsidRDefault="00484329" w:rsidP="004A6D2F">
      <w:r>
        <w:separator/>
      </w:r>
    </w:p>
  </w:footnote>
  <w:footnote w:type="continuationSeparator" w:id="0">
    <w:p w:rsidR="00484329" w:rsidRDefault="00484329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7E" w:rsidRDefault="00484329" w:rsidP="00D5547E">
    <w:pPr>
      <w:pStyle w:val="Header"/>
      <w:jc w:val="right"/>
    </w:pPr>
    <w:r>
      <w:rPr>
        <w:noProof/>
      </w:rPr>
      <w:drawing>
        <wp:inline distT="0" distB="0" distL="0" distR="0">
          <wp:extent cx="841375" cy="1116965"/>
          <wp:effectExtent l="0" t="0" r="0" b="6985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116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35D7B"/>
    <w:multiLevelType w:val="multilevel"/>
    <w:tmpl w:val="F9C465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9C05EF"/>
    <w:multiLevelType w:val="multilevel"/>
    <w:tmpl w:val="43D6D2FA"/>
    <w:numStyleLink w:val="StyleBulletedSymbolsymbolLeft063cmHanging063cm"/>
  </w:abstractNum>
  <w:abstractNum w:abstractNumId="14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263A6A"/>
    <w:multiLevelType w:val="multilevel"/>
    <w:tmpl w:val="43D6D2FA"/>
    <w:numStyleLink w:val="StyleBulletedSymbolsymbolLeft063cmHanging063cm"/>
  </w:abstractNum>
  <w:abstractNum w:abstractNumId="19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BA5FD8"/>
    <w:multiLevelType w:val="multilevel"/>
    <w:tmpl w:val="43D6D2FA"/>
    <w:numStyleLink w:val="StyleBulletedSymbolsymbolLeft063cmHanging063cm"/>
  </w:abstractNum>
  <w:abstractNum w:abstractNumId="28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22831"/>
    <w:multiLevelType w:val="multilevel"/>
    <w:tmpl w:val="43D6D2FA"/>
    <w:numStyleLink w:val="StyleBulletedSymbolsymbolLeft063cmHanging063cm"/>
  </w:abstractNum>
  <w:abstractNum w:abstractNumId="30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8365C6"/>
    <w:multiLevelType w:val="multilevel"/>
    <w:tmpl w:val="E67CE66C"/>
    <w:numStyleLink w:val="StyleNumberedLeft0cmHanging075cm"/>
  </w:abstractNum>
  <w:num w:numId="1">
    <w:abstractNumId w:val="26"/>
  </w:num>
  <w:num w:numId="2">
    <w:abstractNumId w:val="31"/>
  </w:num>
  <w:num w:numId="3">
    <w:abstractNumId w:val="23"/>
  </w:num>
  <w:num w:numId="4">
    <w:abstractNumId w:val="19"/>
  </w:num>
  <w:num w:numId="5">
    <w:abstractNumId w:val="28"/>
  </w:num>
  <w:num w:numId="6">
    <w:abstractNumId w:val="32"/>
  </w:num>
  <w:num w:numId="7">
    <w:abstractNumId w:val="22"/>
  </w:num>
  <w:num w:numId="8">
    <w:abstractNumId w:val="20"/>
  </w:num>
  <w:num w:numId="9">
    <w:abstractNumId w:val="14"/>
  </w:num>
  <w:num w:numId="10">
    <w:abstractNumId w:val="16"/>
  </w:num>
  <w:num w:numId="11">
    <w:abstractNumId w:val="25"/>
  </w:num>
  <w:num w:numId="12">
    <w:abstractNumId w:val="24"/>
  </w:num>
  <w:num w:numId="13">
    <w:abstractNumId w:val="11"/>
  </w:num>
  <w:num w:numId="14">
    <w:abstractNumId w:val="33"/>
  </w:num>
  <w:num w:numId="15">
    <w:abstractNumId w:val="17"/>
  </w:num>
  <w:num w:numId="16">
    <w:abstractNumId w:val="12"/>
  </w:num>
  <w:num w:numId="17">
    <w:abstractNumId w:val="27"/>
  </w:num>
  <w:num w:numId="18">
    <w:abstractNumId w:val="13"/>
  </w:num>
  <w:num w:numId="19">
    <w:abstractNumId w:val="29"/>
  </w:num>
  <w:num w:numId="20">
    <w:abstractNumId w:val="18"/>
  </w:num>
  <w:num w:numId="21">
    <w:abstractNumId w:val="21"/>
  </w:num>
  <w:num w:numId="22">
    <w:abstractNumId w:val="15"/>
  </w:num>
  <w:num w:numId="23">
    <w:abstractNumId w:val="30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29"/>
    <w:rsid w:val="000117D4"/>
    <w:rsid w:val="000314D7"/>
    <w:rsid w:val="00031AB9"/>
    <w:rsid w:val="00045F8B"/>
    <w:rsid w:val="00046D2B"/>
    <w:rsid w:val="00056263"/>
    <w:rsid w:val="00064D8A"/>
    <w:rsid w:val="00064F82"/>
    <w:rsid w:val="00066510"/>
    <w:rsid w:val="00077523"/>
    <w:rsid w:val="000C089F"/>
    <w:rsid w:val="000C3928"/>
    <w:rsid w:val="000C5E8E"/>
    <w:rsid w:val="000F4751"/>
    <w:rsid w:val="0010524C"/>
    <w:rsid w:val="00111FB1"/>
    <w:rsid w:val="00113418"/>
    <w:rsid w:val="001356F1"/>
    <w:rsid w:val="00136994"/>
    <w:rsid w:val="0014128E"/>
    <w:rsid w:val="00151888"/>
    <w:rsid w:val="00170A2D"/>
    <w:rsid w:val="001808BC"/>
    <w:rsid w:val="00182B81"/>
    <w:rsid w:val="0018619D"/>
    <w:rsid w:val="001A011E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2069B3"/>
    <w:rsid w:val="002329CF"/>
    <w:rsid w:val="00232F5B"/>
    <w:rsid w:val="00247C29"/>
    <w:rsid w:val="00260467"/>
    <w:rsid w:val="00263EA3"/>
    <w:rsid w:val="00284F85"/>
    <w:rsid w:val="00290915"/>
    <w:rsid w:val="002A22E2"/>
    <w:rsid w:val="002B5084"/>
    <w:rsid w:val="002C64F7"/>
    <w:rsid w:val="002F41F2"/>
    <w:rsid w:val="00301BF3"/>
    <w:rsid w:val="0030208D"/>
    <w:rsid w:val="00305F91"/>
    <w:rsid w:val="00323418"/>
    <w:rsid w:val="003357BF"/>
    <w:rsid w:val="00364FAD"/>
    <w:rsid w:val="0036738F"/>
    <w:rsid w:val="0036759C"/>
    <w:rsid w:val="00367AE5"/>
    <w:rsid w:val="00367D71"/>
    <w:rsid w:val="0038150A"/>
    <w:rsid w:val="003B6E75"/>
    <w:rsid w:val="003B7DA1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62AB5"/>
    <w:rsid w:val="00465EAF"/>
    <w:rsid w:val="004711FC"/>
    <w:rsid w:val="004738C5"/>
    <w:rsid w:val="00475860"/>
    <w:rsid w:val="00484329"/>
    <w:rsid w:val="00491046"/>
    <w:rsid w:val="004A2AC7"/>
    <w:rsid w:val="004A6D2F"/>
    <w:rsid w:val="004C2887"/>
    <w:rsid w:val="004D2626"/>
    <w:rsid w:val="004D6E26"/>
    <w:rsid w:val="004D77D3"/>
    <w:rsid w:val="004E2959"/>
    <w:rsid w:val="004F20EF"/>
    <w:rsid w:val="0050321C"/>
    <w:rsid w:val="0054712D"/>
    <w:rsid w:val="00547EF6"/>
    <w:rsid w:val="005570B5"/>
    <w:rsid w:val="00567E18"/>
    <w:rsid w:val="00575F5F"/>
    <w:rsid w:val="00581805"/>
    <w:rsid w:val="00585F76"/>
    <w:rsid w:val="005A34E4"/>
    <w:rsid w:val="005B17F2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14693"/>
    <w:rsid w:val="00623C2F"/>
    <w:rsid w:val="00633578"/>
    <w:rsid w:val="00637068"/>
    <w:rsid w:val="00650811"/>
    <w:rsid w:val="00661D3E"/>
    <w:rsid w:val="00692627"/>
    <w:rsid w:val="006969E7"/>
    <w:rsid w:val="006A3643"/>
    <w:rsid w:val="006C2A29"/>
    <w:rsid w:val="006C64CF"/>
    <w:rsid w:val="006D17B1"/>
    <w:rsid w:val="006D4752"/>
    <w:rsid w:val="006D708A"/>
    <w:rsid w:val="006E14C1"/>
    <w:rsid w:val="006F0292"/>
    <w:rsid w:val="006F27FA"/>
    <w:rsid w:val="006F416B"/>
    <w:rsid w:val="006F519B"/>
    <w:rsid w:val="00713675"/>
    <w:rsid w:val="00715823"/>
    <w:rsid w:val="00737B93"/>
    <w:rsid w:val="00745BF0"/>
    <w:rsid w:val="007615FE"/>
    <w:rsid w:val="0076655C"/>
    <w:rsid w:val="007742DC"/>
    <w:rsid w:val="00791437"/>
    <w:rsid w:val="007B0C2C"/>
    <w:rsid w:val="007B278E"/>
    <w:rsid w:val="007C5C23"/>
    <w:rsid w:val="007E2A26"/>
    <w:rsid w:val="007F2348"/>
    <w:rsid w:val="00803F07"/>
    <w:rsid w:val="0080749A"/>
    <w:rsid w:val="00821FB8"/>
    <w:rsid w:val="00822ACD"/>
    <w:rsid w:val="00855C66"/>
    <w:rsid w:val="00871EE4"/>
    <w:rsid w:val="008B293F"/>
    <w:rsid w:val="008B7371"/>
    <w:rsid w:val="008D3DDB"/>
    <w:rsid w:val="008F573F"/>
    <w:rsid w:val="009034EC"/>
    <w:rsid w:val="0093067A"/>
    <w:rsid w:val="00941C60"/>
    <w:rsid w:val="00941FD1"/>
    <w:rsid w:val="00966D42"/>
    <w:rsid w:val="00971689"/>
    <w:rsid w:val="00973E90"/>
    <w:rsid w:val="00975B07"/>
    <w:rsid w:val="00980B4A"/>
    <w:rsid w:val="009C433A"/>
    <w:rsid w:val="009E3D0A"/>
    <w:rsid w:val="009E51FC"/>
    <w:rsid w:val="009F1D28"/>
    <w:rsid w:val="009F7618"/>
    <w:rsid w:val="00A04D23"/>
    <w:rsid w:val="00A06766"/>
    <w:rsid w:val="00A13765"/>
    <w:rsid w:val="00A21B12"/>
    <w:rsid w:val="00A23F80"/>
    <w:rsid w:val="00A46E98"/>
    <w:rsid w:val="00A6352B"/>
    <w:rsid w:val="00A701B5"/>
    <w:rsid w:val="00A714BB"/>
    <w:rsid w:val="00A77147"/>
    <w:rsid w:val="00A92D8F"/>
    <w:rsid w:val="00A955E7"/>
    <w:rsid w:val="00AB2988"/>
    <w:rsid w:val="00AB7999"/>
    <w:rsid w:val="00AD3292"/>
    <w:rsid w:val="00AE7AF0"/>
    <w:rsid w:val="00B500CA"/>
    <w:rsid w:val="00B86314"/>
    <w:rsid w:val="00BA1C2E"/>
    <w:rsid w:val="00BC200B"/>
    <w:rsid w:val="00BC4756"/>
    <w:rsid w:val="00BC69A4"/>
    <w:rsid w:val="00BE0680"/>
    <w:rsid w:val="00BE305F"/>
    <w:rsid w:val="00BE7BA3"/>
    <w:rsid w:val="00BF5682"/>
    <w:rsid w:val="00BF7B09"/>
    <w:rsid w:val="00C0158F"/>
    <w:rsid w:val="00C20A95"/>
    <w:rsid w:val="00C2692F"/>
    <w:rsid w:val="00C3207C"/>
    <w:rsid w:val="00C400E1"/>
    <w:rsid w:val="00C41187"/>
    <w:rsid w:val="00C63C31"/>
    <w:rsid w:val="00C757A0"/>
    <w:rsid w:val="00C760DE"/>
    <w:rsid w:val="00C82630"/>
    <w:rsid w:val="00C85B4E"/>
    <w:rsid w:val="00C907F7"/>
    <w:rsid w:val="00CA2103"/>
    <w:rsid w:val="00CB6B99"/>
    <w:rsid w:val="00CE4C87"/>
    <w:rsid w:val="00CE544A"/>
    <w:rsid w:val="00D11E1C"/>
    <w:rsid w:val="00D160B0"/>
    <w:rsid w:val="00D17F94"/>
    <w:rsid w:val="00D223FC"/>
    <w:rsid w:val="00D26D1E"/>
    <w:rsid w:val="00D474CF"/>
    <w:rsid w:val="00D5547E"/>
    <w:rsid w:val="00D869A1"/>
    <w:rsid w:val="00DA413F"/>
    <w:rsid w:val="00DA4584"/>
    <w:rsid w:val="00DA614B"/>
    <w:rsid w:val="00DC3060"/>
    <w:rsid w:val="00DE0FB2"/>
    <w:rsid w:val="00DF093E"/>
    <w:rsid w:val="00E01F42"/>
    <w:rsid w:val="00E206D6"/>
    <w:rsid w:val="00E3366E"/>
    <w:rsid w:val="00E52086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D52CA"/>
    <w:rsid w:val="00ED5860"/>
    <w:rsid w:val="00EE35C9"/>
    <w:rsid w:val="00F05ECA"/>
    <w:rsid w:val="00F14A89"/>
    <w:rsid w:val="00F3566E"/>
    <w:rsid w:val="00F375FB"/>
    <w:rsid w:val="00F41AC1"/>
    <w:rsid w:val="00F4367A"/>
    <w:rsid w:val="00F445B1"/>
    <w:rsid w:val="00F45CD4"/>
    <w:rsid w:val="00F66DCA"/>
    <w:rsid w:val="00F74F53"/>
    <w:rsid w:val="00F7606D"/>
    <w:rsid w:val="00F81670"/>
    <w:rsid w:val="00F82024"/>
    <w:rsid w:val="00F95BC9"/>
    <w:rsid w:val="00FA624C"/>
    <w:rsid w:val="00FD0FAC"/>
    <w:rsid w:val="00FD1DFA"/>
    <w:rsid w:val="00FD4966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egal-&amp;-Committee-Services\CoMother\City%20Executive%20Board\CEB%20General%20Admin\CEB%20report%20-%20blank%20template%20to%20be%20used%20from%20January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769FE-E370-4A45-941B-1D6408F3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CEB report - blank template to be used from January 2016</Template>
  <TotalTime>1</TotalTime>
  <Pages>3</Pages>
  <Words>465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cphythian</dc:creator>
  <cp:lastModifiedBy>cphythian</cp:lastModifiedBy>
  <cp:revision>3</cp:revision>
  <cp:lastPrinted>2015-07-03T13:50:00Z</cp:lastPrinted>
  <dcterms:created xsi:type="dcterms:W3CDTF">2018-03-12T16:06:00Z</dcterms:created>
  <dcterms:modified xsi:type="dcterms:W3CDTF">2018-03-12T16:07:00Z</dcterms:modified>
</cp:coreProperties>
</file>